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69616" w14:textId="2C7B99C0" w:rsidR="0026700C" w:rsidRDefault="0026700C" w:rsidP="0026700C">
      <w:pPr>
        <w:rPr>
          <w:rFonts w:ascii="Arial" w:hAnsi="Arial" w:cs="Arial"/>
          <w:i/>
          <w:iCs/>
        </w:rPr>
      </w:pPr>
      <w:r w:rsidRPr="00A12DE5">
        <w:rPr>
          <w:rFonts w:ascii="Arial" w:hAnsi="Arial" w:cs="Arial"/>
          <w:b/>
          <w:bCs/>
          <w:u w:val="single"/>
        </w:rPr>
        <w:t xml:space="preserve">ANNEXE 2 : </w:t>
      </w:r>
      <w:r w:rsidRPr="00A12DE5">
        <w:rPr>
          <w:rFonts w:ascii="Arial" w:hAnsi="Arial" w:cs="Arial"/>
          <w:i/>
          <w:iCs/>
        </w:rPr>
        <w:t>« La notion d’infraction en droit pénal »</w:t>
      </w:r>
      <w:r w:rsidR="0025245B">
        <w:rPr>
          <w:rFonts w:ascii="Arial" w:hAnsi="Arial" w:cs="Arial"/>
          <w:i/>
          <w:iCs/>
        </w:rPr>
        <w:t xml:space="preserve">. </w:t>
      </w:r>
    </w:p>
    <w:p w14:paraId="75E8AF8F" w14:textId="77777777" w:rsidR="0025245B" w:rsidRDefault="0025245B" w:rsidP="0026700C">
      <w:pPr>
        <w:rPr>
          <w:rFonts w:ascii="Arial" w:hAnsi="Arial" w:cs="Arial"/>
          <w:i/>
          <w:iCs/>
        </w:rPr>
      </w:pPr>
    </w:p>
    <w:p w14:paraId="0E2EF5E3" w14:textId="77777777" w:rsidR="0026700C" w:rsidRPr="00A12DE5" w:rsidRDefault="0026700C" w:rsidP="00DB1253">
      <w:pPr>
        <w:jc w:val="both"/>
        <w:rPr>
          <w:rFonts w:ascii="Arial" w:hAnsi="Arial" w:cs="Arial"/>
          <w:sz w:val="20"/>
          <w:szCs w:val="20"/>
        </w:rPr>
      </w:pPr>
      <w:r w:rsidRPr="00A12DE5">
        <w:rPr>
          <w:rFonts w:ascii="Arial" w:hAnsi="Arial" w:cs="Arial"/>
          <w:sz w:val="20"/>
          <w:szCs w:val="20"/>
        </w:rPr>
        <w:t xml:space="preserve">En droit pénal belge, il existe trois types d’infraction : </w:t>
      </w:r>
    </w:p>
    <w:p w14:paraId="3A9BCC46" w14:textId="77777777" w:rsidR="0026700C" w:rsidRPr="00A12DE5" w:rsidRDefault="0026700C" w:rsidP="00DB1253">
      <w:pPr>
        <w:pStyle w:val="Paragraphedeliste"/>
        <w:numPr>
          <w:ilvl w:val="0"/>
          <w:numId w:val="1"/>
        </w:numPr>
        <w:jc w:val="both"/>
        <w:rPr>
          <w:rFonts w:ascii="Arial" w:hAnsi="Arial" w:cs="Arial"/>
          <w:sz w:val="20"/>
          <w:szCs w:val="20"/>
        </w:rPr>
      </w:pPr>
      <w:proofErr w:type="gramStart"/>
      <w:r w:rsidRPr="00A12DE5">
        <w:rPr>
          <w:rFonts w:ascii="Arial" w:hAnsi="Arial" w:cs="Arial"/>
          <w:sz w:val="20"/>
          <w:szCs w:val="20"/>
        </w:rPr>
        <w:t>les</w:t>
      </w:r>
      <w:proofErr w:type="gramEnd"/>
      <w:r w:rsidRPr="00A12DE5">
        <w:rPr>
          <w:rFonts w:ascii="Arial" w:hAnsi="Arial" w:cs="Arial"/>
          <w:sz w:val="20"/>
          <w:szCs w:val="20"/>
        </w:rPr>
        <w:t xml:space="preserve"> contraventions ; </w:t>
      </w:r>
    </w:p>
    <w:p w14:paraId="05F865DC" w14:textId="77777777" w:rsidR="0026700C" w:rsidRPr="00A12DE5" w:rsidRDefault="0026700C" w:rsidP="00DB1253">
      <w:pPr>
        <w:pStyle w:val="Paragraphedeliste"/>
        <w:numPr>
          <w:ilvl w:val="0"/>
          <w:numId w:val="1"/>
        </w:numPr>
        <w:jc w:val="both"/>
        <w:rPr>
          <w:rFonts w:ascii="Arial" w:hAnsi="Arial" w:cs="Arial"/>
          <w:sz w:val="20"/>
          <w:szCs w:val="20"/>
        </w:rPr>
      </w:pPr>
      <w:proofErr w:type="gramStart"/>
      <w:r w:rsidRPr="00A12DE5">
        <w:rPr>
          <w:rFonts w:ascii="Arial" w:hAnsi="Arial" w:cs="Arial"/>
          <w:sz w:val="20"/>
          <w:szCs w:val="20"/>
        </w:rPr>
        <w:t>les</w:t>
      </w:r>
      <w:proofErr w:type="gramEnd"/>
      <w:r w:rsidRPr="00A12DE5">
        <w:rPr>
          <w:rFonts w:ascii="Arial" w:hAnsi="Arial" w:cs="Arial"/>
          <w:sz w:val="20"/>
          <w:szCs w:val="20"/>
        </w:rPr>
        <w:t xml:space="preserve"> délits ; </w:t>
      </w:r>
    </w:p>
    <w:p w14:paraId="256866E4" w14:textId="77777777" w:rsidR="0026700C" w:rsidRDefault="0026700C" w:rsidP="00DB1253">
      <w:pPr>
        <w:pStyle w:val="Paragraphedeliste"/>
        <w:numPr>
          <w:ilvl w:val="0"/>
          <w:numId w:val="1"/>
        </w:numPr>
        <w:jc w:val="both"/>
        <w:rPr>
          <w:rFonts w:ascii="Arial" w:hAnsi="Arial" w:cs="Arial"/>
          <w:sz w:val="20"/>
          <w:szCs w:val="20"/>
        </w:rPr>
      </w:pPr>
      <w:proofErr w:type="gramStart"/>
      <w:r w:rsidRPr="00A12DE5">
        <w:rPr>
          <w:rFonts w:ascii="Arial" w:hAnsi="Arial" w:cs="Arial"/>
          <w:sz w:val="20"/>
          <w:szCs w:val="20"/>
        </w:rPr>
        <w:t>les</w:t>
      </w:r>
      <w:proofErr w:type="gramEnd"/>
      <w:r w:rsidRPr="00A12DE5">
        <w:rPr>
          <w:rFonts w:ascii="Arial" w:hAnsi="Arial" w:cs="Arial"/>
          <w:sz w:val="20"/>
          <w:szCs w:val="20"/>
        </w:rPr>
        <w:t xml:space="preserve"> crimes. </w:t>
      </w:r>
    </w:p>
    <w:p w14:paraId="4BB4492D" w14:textId="77777777" w:rsidR="0025245B" w:rsidRDefault="0025245B" w:rsidP="00DB1253">
      <w:pPr>
        <w:jc w:val="both"/>
        <w:rPr>
          <w:rFonts w:ascii="Arial" w:hAnsi="Arial" w:cs="Arial"/>
          <w:sz w:val="20"/>
          <w:szCs w:val="20"/>
        </w:rPr>
      </w:pPr>
    </w:p>
    <w:p w14:paraId="2D4CCDDD" w14:textId="41029DCC" w:rsidR="0025245B" w:rsidRDefault="0025245B" w:rsidP="00DB1253">
      <w:pPr>
        <w:jc w:val="both"/>
        <w:rPr>
          <w:rFonts w:ascii="Arial" w:hAnsi="Arial" w:cs="Arial"/>
          <w:sz w:val="20"/>
          <w:szCs w:val="20"/>
        </w:rPr>
      </w:pPr>
      <w:r w:rsidRPr="0025245B">
        <w:rPr>
          <w:rFonts w:ascii="Arial" w:hAnsi="Arial" w:cs="Arial"/>
          <w:sz w:val="20"/>
          <w:szCs w:val="20"/>
        </w:rPr>
        <w:t xml:space="preserve">Il convient de souligner qu’un fait ne peut être qualifié d’infraction ou </w:t>
      </w:r>
      <w:r w:rsidR="0007589D">
        <w:rPr>
          <w:rFonts w:ascii="Arial" w:hAnsi="Arial" w:cs="Arial"/>
          <w:sz w:val="20"/>
          <w:szCs w:val="20"/>
        </w:rPr>
        <w:t xml:space="preserve">de </w:t>
      </w:r>
      <w:r w:rsidRPr="0025245B">
        <w:rPr>
          <w:rFonts w:ascii="Arial" w:hAnsi="Arial" w:cs="Arial"/>
          <w:sz w:val="20"/>
          <w:szCs w:val="20"/>
        </w:rPr>
        <w:t>fait punissable uniquement</w:t>
      </w:r>
      <w:r w:rsidR="0007589D">
        <w:rPr>
          <w:rFonts w:ascii="Arial" w:hAnsi="Arial" w:cs="Arial"/>
          <w:sz w:val="20"/>
          <w:szCs w:val="20"/>
        </w:rPr>
        <w:t xml:space="preserve"> que</w:t>
      </w:r>
      <w:r w:rsidRPr="0025245B">
        <w:rPr>
          <w:rFonts w:ascii="Arial" w:hAnsi="Arial" w:cs="Arial"/>
          <w:sz w:val="20"/>
          <w:szCs w:val="20"/>
        </w:rPr>
        <w:t xml:space="preserve"> lorsqu’il est explicitement défini comme tel dans la loi. </w:t>
      </w:r>
    </w:p>
    <w:p w14:paraId="35969F8D" w14:textId="085EDB4C" w:rsidR="0025245B" w:rsidRPr="00C83EA2" w:rsidRDefault="0025245B" w:rsidP="00DB1253">
      <w:pPr>
        <w:jc w:val="both"/>
        <w:rPr>
          <w:rFonts w:ascii="Arial" w:hAnsi="Arial" w:cs="Arial"/>
          <w:sz w:val="20"/>
          <w:szCs w:val="20"/>
          <w:u w:val="single"/>
        </w:rPr>
      </w:pPr>
      <w:r>
        <w:rPr>
          <w:rFonts w:ascii="Arial" w:hAnsi="Arial" w:cs="Arial"/>
          <w:sz w:val="20"/>
          <w:szCs w:val="20"/>
        </w:rPr>
        <w:t xml:space="preserve">Dans ce cas, la loi peut se présenter sous la forme </w:t>
      </w:r>
      <w:r w:rsidRPr="00C83EA2">
        <w:rPr>
          <w:rFonts w:ascii="Arial" w:hAnsi="Arial" w:cs="Arial"/>
          <w:sz w:val="20"/>
          <w:szCs w:val="20"/>
          <w:u w:val="single"/>
        </w:rPr>
        <w:t xml:space="preserve">d’une disposition du Code pénal mais aussi du Code de la Route. </w:t>
      </w:r>
    </w:p>
    <w:p w14:paraId="03808165" w14:textId="77777777" w:rsidR="0025245B" w:rsidRPr="0025245B" w:rsidRDefault="0025245B" w:rsidP="00DB1253">
      <w:pPr>
        <w:jc w:val="both"/>
        <w:rPr>
          <w:rFonts w:ascii="Arial" w:hAnsi="Arial" w:cs="Arial"/>
          <w:sz w:val="20"/>
          <w:szCs w:val="20"/>
        </w:rPr>
      </w:pPr>
    </w:p>
    <w:p w14:paraId="7D984FA6" w14:textId="77777777" w:rsidR="0026700C" w:rsidRPr="00A12DE5" w:rsidRDefault="0026700C" w:rsidP="00DB1253">
      <w:pPr>
        <w:pStyle w:val="Paragraphedeliste"/>
        <w:numPr>
          <w:ilvl w:val="0"/>
          <w:numId w:val="2"/>
        </w:numPr>
        <w:jc w:val="both"/>
        <w:rPr>
          <w:rFonts w:ascii="Arial" w:hAnsi="Arial" w:cs="Arial"/>
          <w:i/>
          <w:iCs/>
          <w:sz w:val="20"/>
          <w:szCs w:val="20"/>
          <w:u w:val="single"/>
        </w:rPr>
      </w:pPr>
      <w:r w:rsidRPr="00A12DE5">
        <w:rPr>
          <w:rFonts w:ascii="Arial" w:hAnsi="Arial" w:cs="Arial"/>
          <w:i/>
          <w:iCs/>
          <w:sz w:val="20"/>
          <w:szCs w:val="20"/>
          <w:u w:val="single"/>
        </w:rPr>
        <w:t xml:space="preserve">Les contraventions : </w:t>
      </w:r>
    </w:p>
    <w:p w14:paraId="573495FB" w14:textId="77777777" w:rsidR="0026700C" w:rsidRPr="00A12DE5" w:rsidRDefault="0026700C" w:rsidP="00DB1253">
      <w:pPr>
        <w:ind w:left="360"/>
        <w:jc w:val="both"/>
        <w:rPr>
          <w:rFonts w:ascii="Arial" w:hAnsi="Arial" w:cs="Arial"/>
          <w:sz w:val="20"/>
          <w:szCs w:val="20"/>
        </w:rPr>
      </w:pPr>
      <w:r w:rsidRPr="00A12DE5">
        <w:rPr>
          <w:rFonts w:ascii="Arial" w:hAnsi="Arial" w:cs="Arial"/>
          <w:sz w:val="20"/>
          <w:szCs w:val="20"/>
        </w:rPr>
        <w:t xml:space="preserve">La contravention est la forme d’infraction la plus légère. Elle entraîne un emprisonnement de maximum sept jours ou une amende. </w:t>
      </w:r>
    </w:p>
    <w:p w14:paraId="176A8FA2" w14:textId="0CDED4F0" w:rsidR="0026700C" w:rsidRPr="00A12DE5" w:rsidRDefault="0025245B" w:rsidP="00DB1253">
      <w:pPr>
        <w:ind w:left="360"/>
        <w:jc w:val="both"/>
        <w:rPr>
          <w:rFonts w:ascii="Arial" w:hAnsi="Arial" w:cs="Arial"/>
          <w:sz w:val="20"/>
          <w:szCs w:val="20"/>
        </w:rPr>
      </w:pPr>
      <w:r>
        <w:rPr>
          <w:rFonts w:ascii="Arial" w:hAnsi="Arial" w:cs="Arial"/>
          <w:sz w:val="20"/>
          <w:szCs w:val="20"/>
        </w:rPr>
        <w:t>C</w:t>
      </w:r>
      <w:r w:rsidR="0026700C" w:rsidRPr="00A12DE5">
        <w:rPr>
          <w:rFonts w:ascii="Arial" w:hAnsi="Arial" w:cs="Arial"/>
          <w:sz w:val="20"/>
          <w:szCs w:val="20"/>
        </w:rPr>
        <w:t xml:space="preserve">’est le </w:t>
      </w:r>
      <w:r w:rsidR="0026700C" w:rsidRPr="0025245B">
        <w:rPr>
          <w:rFonts w:ascii="Arial" w:hAnsi="Arial" w:cs="Arial"/>
          <w:b/>
          <w:bCs/>
          <w:sz w:val="20"/>
          <w:szCs w:val="20"/>
        </w:rPr>
        <w:t>tribunal de police</w:t>
      </w:r>
      <w:r w:rsidR="0026700C" w:rsidRPr="00A12DE5">
        <w:rPr>
          <w:rFonts w:ascii="Arial" w:hAnsi="Arial" w:cs="Arial"/>
          <w:sz w:val="20"/>
          <w:szCs w:val="20"/>
        </w:rPr>
        <w:t xml:space="preserve"> qui se prononce sur les contraventions. </w:t>
      </w:r>
    </w:p>
    <w:p w14:paraId="366E03D5" w14:textId="6943127E" w:rsidR="0026700C" w:rsidRDefault="0026700C" w:rsidP="00DB1253">
      <w:pPr>
        <w:ind w:left="360"/>
        <w:jc w:val="both"/>
        <w:rPr>
          <w:rFonts w:ascii="Arial" w:hAnsi="Arial" w:cs="Arial"/>
          <w:sz w:val="20"/>
          <w:szCs w:val="20"/>
        </w:rPr>
      </w:pPr>
      <w:r w:rsidRPr="00A12DE5">
        <w:rPr>
          <w:rFonts w:ascii="Arial" w:hAnsi="Arial" w:cs="Arial"/>
          <w:sz w:val="20"/>
          <w:szCs w:val="20"/>
          <w:u w:val="single"/>
        </w:rPr>
        <w:t>Exemples </w:t>
      </w:r>
      <w:r w:rsidRPr="00A12DE5">
        <w:rPr>
          <w:rFonts w:ascii="Arial" w:hAnsi="Arial" w:cs="Arial"/>
          <w:sz w:val="20"/>
          <w:szCs w:val="20"/>
        </w:rPr>
        <w:t xml:space="preserve">: tapage nocturne, </w:t>
      </w:r>
      <w:r w:rsidR="00C83EA2">
        <w:rPr>
          <w:rFonts w:ascii="Arial" w:hAnsi="Arial" w:cs="Arial"/>
          <w:sz w:val="20"/>
          <w:szCs w:val="20"/>
        </w:rPr>
        <w:t xml:space="preserve">violences légères, destruction volontaire de propriétés mobilières d’autrui, … </w:t>
      </w:r>
    </w:p>
    <w:p w14:paraId="3303CC6B" w14:textId="01AA28DE" w:rsidR="00C83EA2" w:rsidRDefault="00C83EA2" w:rsidP="00DB1253">
      <w:pPr>
        <w:ind w:left="360"/>
        <w:jc w:val="both"/>
        <w:rPr>
          <w:rFonts w:ascii="Arial" w:hAnsi="Arial" w:cs="Arial"/>
          <w:sz w:val="20"/>
          <w:szCs w:val="20"/>
        </w:rPr>
      </w:pPr>
      <w:r>
        <w:rPr>
          <w:rFonts w:ascii="Arial" w:hAnsi="Arial" w:cs="Arial"/>
          <w:sz w:val="20"/>
          <w:szCs w:val="20"/>
        </w:rPr>
        <w:t xml:space="preserve">Il convient de ne pas confondre ces infractions avec les </w:t>
      </w:r>
      <w:r w:rsidRPr="00C83EA2">
        <w:rPr>
          <w:rFonts w:ascii="Arial" w:hAnsi="Arial" w:cs="Arial"/>
          <w:sz w:val="20"/>
          <w:szCs w:val="20"/>
          <w:u w:val="single"/>
        </w:rPr>
        <w:t>infractions au Code de la Route</w:t>
      </w:r>
      <w:r>
        <w:rPr>
          <w:rFonts w:ascii="Arial" w:hAnsi="Arial" w:cs="Arial"/>
          <w:sz w:val="20"/>
          <w:szCs w:val="20"/>
        </w:rPr>
        <w:t xml:space="preserve"> qui relèvent également de la compétence </w:t>
      </w:r>
      <w:r w:rsidRPr="00C83EA2">
        <w:rPr>
          <w:rFonts w:ascii="Arial" w:hAnsi="Arial" w:cs="Arial"/>
          <w:b/>
          <w:bCs/>
          <w:sz w:val="20"/>
          <w:szCs w:val="20"/>
        </w:rPr>
        <w:t>du tribunal de police</w:t>
      </w:r>
      <w:r>
        <w:rPr>
          <w:rFonts w:ascii="Arial" w:hAnsi="Arial" w:cs="Arial"/>
          <w:sz w:val="20"/>
          <w:szCs w:val="20"/>
        </w:rPr>
        <w:t xml:space="preserve">. </w:t>
      </w:r>
    </w:p>
    <w:p w14:paraId="1137FA03" w14:textId="301389E2" w:rsidR="00C83EA2" w:rsidRPr="00C83EA2" w:rsidRDefault="00787439" w:rsidP="00DB1253">
      <w:pPr>
        <w:ind w:left="360"/>
        <w:jc w:val="both"/>
        <w:rPr>
          <w:rFonts w:ascii="Arial" w:hAnsi="Arial" w:cs="Arial"/>
          <w:sz w:val="20"/>
          <w:szCs w:val="20"/>
        </w:rPr>
      </w:pPr>
      <w:r>
        <w:rPr>
          <w:rFonts w:ascii="Arial" w:hAnsi="Arial" w:cs="Arial"/>
          <w:sz w:val="20"/>
          <w:szCs w:val="20"/>
        </w:rPr>
        <w:t>Un arrêté royal du 30 septembre 2005</w:t>
      </w:r>
      <w:r>
        <w:rPr>
          <w:rStyle w:val="Appelnotedebasdep"/>
          <w:rFonts w:ascii="Arial" w:hAnsi="Arial" w:cs="Arial"/>
          <w:sz w:val="20"/>
          <w:szCs w:val="20"/>
        </w:rPr>
        <w:footnoteReference w:id="1"/>
      </w:r>
      <w:r>
        <w:rPr>
          <w:rFonts w:ascii="Arial" w:hAnsi="Arial" w:cs="Arial"/>
          <w:sz w:val="20"/>
          <w:szCs w:val="20"/>
        </w:rPr>
        <w:t xml:space="preserve"> désignant les infractions par degré aux règlements généraux pris en exécution de la loi relative à la police de la circulation routière classe les infractions au Code de la Route en </w:t>
      </w:r>
      <w:r w:rsidRPr="00A02A3A">
        <w:rPr>
          <w:rFonts w:ascii="Arial" w:hAnsi="Arial" w:cs="Arial"/>
          <w:b/>
          <w:bCs/>
          <w:sz w:val="20"/>
          <w:szCs w:val="20"/>
        </w:rPr>
        <w:t>4 degrés</w:t>
      </w:r>
      <w:r w:rsidR="00A02A3A">
        <w:rPr>
          <w:rStyle w:val="Appelnotedebasdep"/>
          <w:rFonts w:ascii="Arial" w:hAnsi="Arial" w:cs="Arial"/>
          <w:b/>
          <w:bCs/>
          <w:sz w:val="20"/>
          <w:szCs w:val="20"/>
        </w:rPr>
        <w:footnoteReference w:id="2"/>
      </w:r>
      <w:r>
        <w:rPr>
          <w:rFonts w:ascii="Arial" w:hAnsi="Arial" w:cs="Arial"/>
          <w:sz w:val="20"/>
          <w:szCs w:val="20"/>
        </w:rPr>
        <w:t xml:space="preserve"> auxquels il convient d’ajouter </w:t>
      </w:r>
      <w:r w:rsidR="009865D5">
        <w:rPr>
          <w:rFonts w:ascii="Arial" w:hAnsi="Arial" w:cs="Arial"/>
          <w:sz w:val="20"/>
          <w:szCs w:val="20"/>
        </w:rPr>
        <w:t>notamment</w:t>
      </w:r>
      <w:r>
        <w:rPr>
          <w:rFonts w:ascii="Arial" w:hAnsi="Arial" w:cs="Arial"/>
          <w:sz w:val="20"/>
          <w:szCs w:val="20"/>
        </w:rPr>
        <w:t xml:space="preserve"> la conduite sous influence. </w:t>
      </w:r>
    </w:p>
    <w:p w14:paraId="3595CD15" w14:textId="77777777" w:rsidR="0026700C" w:rsidRPr="00A12DE5" w:rsidRDefault="0026700C" w:rsidP="00DB1253">
      <w:pPr>
        <w:pStyle w:val="Paragraphedeliste"/>
        <w:numPr>
          <w:ilvl w:val="0"/>
          <w:numId w:val="2"/>
        </w:numPr>
        <w:jc w:val="both"/>
        <w:rPr>
          <w:rFonts w:ascii="Arial" w:hAnsi="Arial" w:cs="Arial"/>
          <w:i/>
          <w:iCs/>
          <w:sz w:val="20"/>
          <w:szCs w:val="20"/>
          <w:u w:val="single"/>
        </w:rPr>
      </w:pPr>
      <w:r w:rsidRPr="00A12DE5">
        <w:rPr>
          <w:rFonts w:ascii="Arial" w:hAnsi="Arial" w:cs="Arial"/>
          <w:i/>
          <w:iCs/>
          <w:sz w:val="20"/>
          <w:szCs w:val="20"/>
          <w:u w:val="single"/>
        </w:rPr>
        <w:lastRenderedPageBreak/>
        <w:t xml:space="preserve">Les délits : </w:t>
      </w:r>
    </w:p>
    <w:p w14:paraId="4EE97C24" w14:textId="77777777" w:rsidR="0026700C" w:rsidRPr="00A12DE5" w:rsidRDefault="0026700C" w:rsidP="00DB1253">
      <w:pPr>
        <w:ind w:left="360"/>
        <w:jc w:val="both"/>
        <w:rPr>
          <w:rFonts w:ascii="Arial" w:hAnsi="Arial" w:cs="Arial"/>
          <w:sz w:val="20"/>
          <w:szCs w:val="20"/>
        </w:rPr>
      </w:pPr>
      <w:r w:rsidRPr="00A12DE5">
        <w:rPr>
          <w:rFonts w:ascii="Arial" w:hAnsi="Arial" w:cs="Arial"/>
          <w:sz w:val="20"/>
          <w:szCs w:val="20"/>
        </w:rPr>
        <w:t xml:space="preserve">Le délit est passible d’être sanctionné par une peine d’emprisonnement de minimum huit jours et maximum cinq ans ou d’une amende. </w:t>
      </w:r>
    </w:p>
    <w:p w14:paraId="6E4C3EED" w14:textId="77777777" w:rsidR="0026700C" w:rsidRPr="00A12DE5" w:rsidRDefault="0026700C" w:rsidP="00DB1253">
      <w:pPr>
        <w:ind w:left="360"/>
        <w:jc w:val="both"/>
        <w:rPr>
          <w:rFonts w:ascii="Arial" w:hAnsi="Arial" w:cs="Arial"/>
          <w:sz w:val="20"/>
          <w:szCs w:val="20"/>
        </w:rPr>
      </w:pPr>
      <w:r w:rsidRPr="00A12DE5">
        <w:rPr>
          <w:rFonts w:ascii="Arial" w:hAnsi="Arial" w:cs="Arial"/>
          <w:sz w:val="20"/>
          <w:szCs w:val="20"/>
        </w:rPr>
        <w:t xml:space="preserve">C’est le </w:t>
      </w:r>
      <w:r w:rsidRPr="00313458">
        <w:rPr>
          <w:rFonts w:ascii="Arial" w:hAnsi="Arial" w:cs="Arial"/>
          <w:b/>
          <w:bCs/>
          <w:sz w:val="20"/>
          <w:szCs w:val="20"/>
        </w:rPr>
        <w:t>tribunal correctionnel</w:t>
      </w:r>
      <w:r w:rsidRPr="00A12DE5">
        <w:rPr>
          <w:rFonts w:ascii="Arial" w:hAnsi="Arial" w:cs="Arial"/>
          <w:sz w:val="20"/>
          <w:szCs w:val="20"/>
        </w:rPr>
        <w:t xml:space="preserve"> qui juge les délits. </w:t>
      </w:r>
    </w:p>
    <w:p w14:paraId="7E16FFBB" w14:textId="77777777" w:rsidR="0026700C" w:rsidRPr="00A12DE5" w:rsidRDefault="0026700C" w:rsidP="00DB1253">
      <w:pPr>
        <w:ind w:left="360"/>
        <w:jc w:val="both"/>
        <w:rPr>
          <w:rFonts w:ascii="Arial" w:hAnsi="Arial" w:cs="Arial"/>
          <w:sz w:val="20"/>
          <w:szCs w:val="20"/>
        </w:rPr>
      </w:pPr>
      <w:r w:rsidRPr="00A12DE5">
        <w:rPr>
          <w:rFonts w:ascii="Arial" w:hAnsi="Arial" w:cs="Arial"/>
          <w:sz w:val="20"/>
          <w:szCs w:val="20"/>
          <w:u w:val="single"/>
        </w:rPr>
        <w:t>Exemples :</w:t>
      </w:r>
      <w:r w:rsidRPr="00A12DE5">
        <w:rPr>
          <w:rFonts w:ascii="Arial" w:hAnsi="Arial" w:cs="Arial"/>
          <w:sz w:val="20"/>
          <w:szCs w:val="20"/>
        </w:rPr>
        <w:t xml:space="preserve"> vol, abus de confiance, escroquerie, coups et blessures, ….</w:t>
      </w:r>
    </w:p>
    <w:p w14:paraId="535DB007" w14:textId="77777777" w:rsidR="0026700C" w:rsidRPr="00A12DE5" w:rsidRDefault="0026700C" w:rsidP="00DB1253">
      <w:pPr>
        <w:ind w:left="360"/>
        <w:jc w:val="both"/>
        <w:rPr>
          <w:rFonts w:ascii="Arial" w:hAnsi="Arial" w:cs="Arial"/>
          <w:sz w:val="20"/>
          <w:szCs w:val="20"/>
        </w:rPr>
      </w:pPr>
    </w:p>
    <w:p w14:paraId="4C36E990" w14:textId="77777777" w:rsidR="0026700C" w:rsidRPr="00A12DE5" w:rsidRDefault="0026700C" w:rsidP="00DB1253">
      <w:pPr>
        <w:pStyle w:val="Paragraphedeliste"/>
        <w:numPr>
          <w:ilvl w:val="0"/>
          <w:numId w:val="2"/>
        </w:numPr>
        <w:jc w:val="both"/>
        <w:rPr>
          <w:rFonts w:ascii="Arial" w:hAnsi="Arial" w:cs="Arial"/>
          <w:i/>
          <w:iCs/>
          <w:sz w:val="20"/>
          <w:szCs w:val="20"/>
          <w:u w:val="single"/>
        </w:rPr>
      </w:pPr>
      <w:r w:rsidRPr="00A12DE5">
        <w:rPr>
          <w:rFonts w:ascii="Arial" w:hAnsi="Arial" w:cs="Arial"/>
          <w:i/>
          <w:iCs/>
          <w:sz w:val="20"/>
          <w:szCs w:val="20"/>
          <w:u w:val="single"/>
        </w:rPr>
        <w:t xml:space="preserve">Les crimes : </w:t>
      </w:r>
    </w:p>
    <w:p w14:paraId="71AB1E2A" w14:textId="77777777" w:rsidR="0026700C" w:rsidRPr="00A12DE5" w:rsidRDefault="0026700C" w:rsidP="00DB1253">
      <w:pPr>
        <w:ind w:left="360"/>
        <w:jc w:val="both"/>
        <w:rPr>
          <w:rFonts w:ascii="Arial" w:hAnsi="Arial" w:cs="Arial"/>
          <w:sz w:val="20"/>
          <w:szCs w:val="20"/>
        </w:rPr>
      </w:pPr>
      <w:r w:rsidRPr="00A12DE5">
        <w:rPr>
          <w:rFonts w:ascii="Arial" w:hAnsi="Arial" w:cs="Arial"/>
          <w:sz w:val="20"/>
          <w:szCs w:val="20"/>
        </w:rPr>
        <w:t xml:space="preserve">Les crimes sont les infractions les plus graves. Un crime peut être puni par un emprisonnement de minimum cinq ans ou d’une amende. </w:t>
      </w:r>
    </w:p>
    <w:p w14:paraId="4CB11DD4" w14:textId="77777777" w:rsidR="0026700C" w:rsidRPr="00A12DE5" w:rsidRDefault="0026700C" w:rsidP="00DB1253">
      <w:pPr>
        <w:ind w:left="360"/>
        <w:jc w:val="both"/>
        <w:rPr>
          <w:rFonts w:ascii="Arial" w:hAnsi="Arial" w:cs="Arial"/>
          <w:sz w:val="20"/>
          <w:szCs w:val="20"/>
        </w:rPr>
      </w:pPr>
      <w:r w:rsidRPr="00A12DE5">
        <w:rPr>
          <w:rFonts w:ascii="Arial" w:hAnsi="Arial" w:cs="Arial"/>
          <w:sz w:val="20"/>
          <w:szCs w:val="20"/>
        </w:rPr>
        <w:t xml:space="preserve">C’est la </w:t>
      </w:r>
      <w:r w:rsidRPr="00BD6C5B">
        <w:rPr>
          <w:rFonts w:ascii="Arial" w:hAnsi="Arial" w:cs="Arial"/>
          <w:b/>
          <w:bCs/>
          <w:sz w:val="20"/>
          <w:szCs w:val="20"/>
        </w:rPr>
        <w:t>cour d’assises</w:t>
      </w:r>
      <w:r w:rsidRPr="00A12DE5">
        <w:rPr>
          <w:rFonts w:ascii="Arial" w:hAnsi="Arial" w:cs="Arial"/>
          <w:sz w:val="20"/>
          <w:szCs w:val="20"/>
        </w:rPr>
        <w:t xml:space="preserve"> qui juge les crimes et les autres infractions y associées. </w:t>
      </w:r>
    </w:p>
    <w:p w14:paraId="6DC939F0" w14:textId="5C0BC5FC" w:rsidR="0026700C" w:rsidRPr="00A12DE5" w:rsidRDefault="0026700C" w:rsidP="00DB1253">
      <w:pPr>
        <w:ind w:left="360"/>
        <w:jc w:val="both"/>
        <w:rPr>
          <w:rFonts w:ascii="Arial" w:hAnsi="Arial" w:cs="Arial"/>
          <w:sz w:val="20"/>
          <w:szCs w:val="20"/>
        </w:rPr>
      </w:pPr>
      <w:r w:rsidRPr="00A12DE5">
        <w:rPr>
          <w:rFonts w:ascii="Arial" w:hAnsi="Arial" w:cs="Arial"/>
          <w:sz w:val="20"/>
          <w:szCs w:val="20"/>
          <w:u w:val="single"/>
        </w:rPr>
        <w:t>Exemples :</w:t>
      </w:r>
      <w:r w:rsidRPr="00A12DE5">
        <w:rPr>
          <w:rFonts w:ascii="Arial" w:hAnsi="Arial" w:cs="Arial"/>
          <w:sz w:val="20"/>
          <w:szCs w:val="20"/>
        </w:rPr>
        <w:t xml:space="preserve">  viol, meurtre, attentat à la pudeur, assassina</w:t>
      </w:r>
      <w:r w:rsidR="00313458">
        <w:rPr>
          <w:rFonts w:ascii="Arial" w:hAnsi="Arial" w:cs="Arial"/>
          <w:sz w:val="20"/>
          <w:szCs w:val="20"/>
        </w:rPr>
        <w:t xml:space="preserve">t, infractions liées aux </w:t>
      </w:r>
      <w:r w:rsidR="00313458">
        <w:rPr>
          <w:rFonts w:ascii="Arial" w:hAnsi="Arial" w:cs="Arial"/>
          <w:i/>
          <w:iCs/>
          <w:sz w:val="20"/>
          <w:szCs w:val="20"/>
        </w:rPr>
        <w:t>« atteintes à l’intégrité de la personne »</w:t>
      </w:r>
      <w:r w:rsidR="007D3877">
        <w:rPr>
          <w:rStyle w:val="Appelnotedebasdep"/>
          <w:rFonts w:ascii="Arial" w:hAnsi="Arial" w:cs="Arial"/>
          <w:i/>
          <w:iCs/>
          <w:sz w:val="20"/>
          <w:szCs w:val="20"/>
        </w:rPr>
        <w:footnoteReference w:id="3"/>
      </w:r>
      <w:r w:rsidR="00313458">
        <w:rPr>
          <w:rFonts w:ascii="Arial" w:hAnsi="Arial" w:cs="Arial"/>
          <w:i/>
          <w:iCs/>
          <w:sz w:val="20"/>
          <w:szCs w:val="20"/>
        </w:rPr>
        <w:t>, …</w:t>
      </w:r>
      <w:r w:rsidRPr="00A12DE5">
        <w:rPr>
          <w:rFonts w:ascii="Arial" w:hAnsi="Arial" w:cs="Arial"/>
          <w:sz w:val="20"/>
          <w:szCs w:val="20"/>
        </w:rPr>
        <w:t xml:space="preserve"> </w:t>
      </w:r>
    </w:p>
    <w:sectPr w:rsidR="0026700C" w:rsidRPr="00A12DE5" w:rsidSect="0026700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83372" w14:textId="77777777" w:rsidR="0026700C" w:rsidRDefault="0026700C" w:rsidP="0026700C">
      <w:pPr>
        <w:spacing w:after="0" w:line="240" w:lineRule="auto"/>
      </w:pPr>
      <w:r>
        <w:separator/>
      </w:r>
    </w:p>
  </w:endnote>
  <w:endnote w:type="continuationSeparator" w:id="0">
    <w:p w14:paraId="1CAD3DBF" w14:textId="77777777" w:rsidR="0026700C" w:rsidRDefault="0026700C" w:rsidP="00267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9196599"/>
      <w:docPartObj>
        <w:docPartGallery w:val="Page Numbers (Bottom of Page)"/>
        <w:docPartUnique/>
      </w:docPartObj>
    </w:sdtPr>
    <w:sdtEndPr/>
    <w:sdtContent>
      <w:p w14:paraId="723FB001" w14:textId="77777777" w:rsidR="00B4206D" w:rsidRDefault="00B4206D">
        <w:pPr>
          <w:pStyle w:val="Pieddepage"/>
          <w:jc w:val="right"/>
        </w:pPr>
        <w:r>
          <w:fldChar w:fldCharType="begin"/>
        </w:r>
        <w:r>
          <w:instrText>PAGE   \* MERGEFORMAT</w:instrText>
        </w:r>
        <w:r>
          <w:fldChar w:fldCharType="separate"/>
        </w:r>
        <w:r>
          <w:rPr>
            <w:lang w:val="fr-FR"/>
          </w:rPr>
          <w:t>2</w:t>
        </w:r>
        <w:r>
          <w:fldChar w:fldCharType="end"/>
        </w:r>
      </w:p>
    </w:sdtContent>
  </w:sdt>
  <w:p w14:paraId="10500629" w14:textId="77777777" w:rsidR="00B4206D" w:rsidRDefault="00B420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4D08E" w14:textId="77777777" w:rsidR="0026700C" w:rsidRDefault="0026700C" w:rsidP="0026700C">
      <w:pPr>
        <w:spacing w:after="0" w:line="240" w:lineRule="auto"/>
      </w:pPr>
      <w:r>
        <w:separator/>
      </w:r>
    </w:p>
  </w:footnote>
  <w:footnote w:type="continuationSeparator" w:id="0">
    <w:p w14:paraId="05735AC5" w14:textId="77777777" w:rsidR="0026700C" w:rsidRDefault="0026700C" w:rsidP="0026700C">
      <w:pPr>
        <w:spacing w:after="0" w:line="240" w:lineRule="auto"/>
      </w:pPr>
      <w:r>
        <w:continuationSeparator/>
      </w:r>
    </w:p>
  </w:footnote>
  <w:footnote w:id="1">
    <w:p w14:paraId="5F4088F3" w14:textId="7ACBF096" w:rsidR="00787439" w:rsidRDefault="00787439">
      <w:pPr>
        <w:pStyle w:val="Notedebasdepage"/>
      </w:pPr>
      <w:r>
        <w:rPr>
          <w:rStyle w:val="Appelnotedebasdep"/>
        </w:rPr>
        <w:footnoteRef/>
      </w:r>
      <w:r>
        <w:t xml:space="preserve"> </w:t>
      </w:r>
      <w:hyperlink r:id="rId1" w:history="1">
        <w:r w:rsidR="00A02A3A" w:rsidRPr="00A02A3A">
          <w:rPr>
            <w:rStyle w:val="Lienhypertexte"/>
            <w:rFonts w:ascii="Arial" w:hAnsi="Arial" w:cs="Arial"/>
            <w:sz w:val="16"/>
            <w:szCs w:val="16"/>
          </w:rPr>
          <w:t>https://www.ejustice.just.fgov.be/eli/arrete/2005/09/30/2005014182/moniteur</w:t>
        </w:r>
      </w:hyperlink>
      <w:r w:rsidR="00A02A3A">
        <w:t xml:space="preserve">. </w:t>
      </w:r>
    </w:p>
  </w:footnote>
  <w:footnote w:id="2">
    <w:p w14:paraId="44C4086E" w14:textId="47BFD4CD" w:rsidR="00A02A3A" w:rsidRDefault="00A02A3A">
      <w:pPr>
        <w:pStyle w:val="Notedebasdepage"/>
        <w:rPr>
          <w:rFonts w:ascii="Arial" w:hAnsi="Arial" w:cs="Arial"/>
          <w:sz w:val="16"/>
          <w:szCs w:val="16"/>
        </w:rPr>
      </w:pPr>
      <w:r>
        <w:rPr>
          <w:rStyle w:val="Appelnotedebasdep"/>
        </w:rPr>
        <w:footnoteRef/>
      </w:r>
      <w:r>
        <w:t xml:space="preserve"> </w:t>
      </w:r>
      <w:r>
        <w:rPr>
          <w:rFonts w:ascii="Arial" w:hAnsi="Arial" w:cs="Arial"/>
          <w:sz w:val="16"/>
          <w:szCs w:val="16"/>
        </w:rPr>
        <w:t xml:space="preserve">Les infractions du </w:t>
      </w:r>
      <w:r w:rsidRPr="00A02A3A">
        <w:rPr>
          <w:rFonts w:ascii="Arial" w:hAnsi="Arial" w:cs="Arial"/>
          <w:sz w:val="16"/>
          <w:szCs w:val="16"/>
          <w:u w:val="single"/>
        </w:rPr>
        <w:t>premier degré</w:t>
      </w:r>
      <w:r>
        <w:rPr>
          <w:rFonts w:ascii="Arial" w:hAnsi="Arial" w:cs="Arial"/>
          <w:sz w:val="16"/>
          <w:szCs w:val="16"/>
        </w:rPr>
        <w:t xml:space="preserve"> sont les infractions qui ne sont reprises dans aucune des autres catégories d’infractions. </w:t>
      </w:r>
      <w:r w:rsidRPr="00A02A3A">
        <w:rPr>
          <w:rFonts w:ascii="Arial" w:hAnsi="Arial" w:cs="Arial"/>
          <w:sz w:val="16"/>
          <w:szCs w:val="16"/>
          <w:u w:val="single"/>
        </w:rPr>
        <w:t>Exemples :</w:t>
      </w:r>
      <w:r>
        <w:rPr>
          <w:rFonts w:ascii="Arial" w:hAnsi="Arial" w:cs="Arial"/>
          <w:sz w:val="16"/>
          <w:szCs w:val="16"/>
        </w:rPr>
        <w:t xml:space="preserve"> pas de clignotants, emprunter une bande réservée aux bus, ne pas porter de ceinture, rouler à vélo la nuit sans éclairage, … Les infractions du </w:t>
      </w:r>
      <w:r w:rsidRPr="00A02A3A">
        <w:rPr>
          <w:rFonts w:ascii="Arial" w:hAnsi="Arial" w:cs="Arial"/>
          <w:sz w:val="16"/>
          <w:szCs w:val="16"/>
          <w:u w:val="single"/>
        </w:rPr>
        <w:t>deuxième degré</w:t>
      </w:r>
      <w:r>
        <w:rPr>
          <w:rFonts w:ascii="Arial" w:hAnsi="Arial" w:cs="Arial"/>
          <w:sz w:val="16"/>
          <w:szCs w:val="16"/>
        </w:rPr>
        <w:t xml:space="preserve"> sont les infractions qui mettent indirectement en danger la sécurité des personnes et les infractions qui consistent en l’utilisation sans droit de facilités de stationnement pour les personnes handicapées ou encore des comportements en matière d’immatriculation permettant de se soustraire aux poursuites. </w:t>
      </w:r>
      <w:r w:rsidRPr="00A02A3A">
        <w:rPr>
          <w:rFonts w:ascii="Arial" w:hAnsi="Arial" w:cs="Arial"/>
          <w:sz w:val="16"/>
          <w:szCs w:val="16"/>
          <w:u w:val="single"/>
        </w:rPr>
        <w:t>Exemples :</w:t>
      </w:r>
      <w:r>
        <w:rPr>
          <w:rFonts w:ascii="Arial" w:hAnsi="Arial" w:cs="Arial"/>
          <w:sz w:val="16"/>
          <w:szCs w:val="16"/>
        </w:rPr>
        <w:t xml:space="preserve"> brûler un feu orange, dépasser par la droite quand c’est interdit, ne pas respecter la priorité de droite, circuler sur des chemins réservés aux piétons, stationner de manière illégitime sur un emplacement réservé aux personnes handicapées, … Les infractions du </w:t>
      </w:r>
      <w:r w:rsidRPr="00A02A3A">
        <w:rPr>
          <w:rFonts w:ascii="Arial" w:hAnsi="Arial" w:cs="Arial"/>
          <w:sz w:val="16"/>
          <w:szCs w:val="16"/>
          <w:u w:val="single"/>
        </w:rPr>
        <w:t>troisième degré</w:t>
      </w:r>
      <w:r>
        <w:rPr>
          <w:rFonts w:ascii="Arial" w:hAnsi="Arial" w:cs="Arial"/>
          <w:sz w:val="16"/>
          <w:szCs w:val="16"/>
        </w:rPr>
        <w:t xml:space="preserve"> sont les infractions qui mettent directement en danger la sécurité des personnes et les infractions qui consistent dans le fait de négliger une injonction d’un agent qualifié. </w:t>
      </w:r>
      <w:r w:rsidRPr="00A02A3A">
        <w:rPr>
          <w:rFonts w:ascii="Arial" w:hAnsi="Arial" w:cs="Arial"/>
          <w:sz w:val="16"/>
          <w:szCs w:val="16"/>
          <w:u w:val="single"/>
        </w:rPr>
        <w:t>Exemples</w:t>
      </w:r>
      <w:r>
        <w:rPr>
          <w:rFonts w:ascii="Arial" w:hAnsi="Arial" w:cs="Arial"/>
          <w:sz w:val="16"/>
          <w:szCs w:val="16"/>
        </w:rPr>
        <w:t xml:space="preserve"> : </w:t>
      </w:r>
      <w:r w:rsidR="00A55316">
        <w:rPr>
          <w:rFonts w:ascii="Arial" w:hAnsi="Arial" w:cs="Arial"/>
          <w:sz w:val="16"/>
          <w:szCs w:val="16"/>
        </w:rPr>
        <w:t xml:space="preserve">brûler un feu rouge, franchir une ligne blanche continue, ne pas céder le passage à l’approche d’un véhicule faisant usage de son avertisseur sonore, ne pas obtempérer aux injonctions des agents qualifiés, … </w:t>
      </w:r>
    </w:p>
    <w:p w14:paraId="111C5F5C" w14:textId="0BA462CF" w:rsidR="00A55316" w:rsidRDefault="00A55316">
      <w:pPr>
        <w:pStyle w:val="Notedebasdepage"/>
        <w:rPr>
          <w:rFonts w:ascii="Arial" w:hAnsi="Arial" w:cs="Arial"/>
          <w:sz w:val="16"/>
          <w:szCs w:val="16"/>
        </w:rPr>
      </w:pPr>
      <w:r>
        <w:rPr>
          <w:rFonts w:ascii="Arial" w:hAnsi="Arial" w:cs="Arial"/>
          <w:sz w:val="16"/>
          <w:szCs w:val="16"/>
        </w:rPr>
        <w:t xml:space="preserve">Les infractions du </w:t>
      </w:r>
      <w:r w:rsidRPr="00A55316">
        <w:rPr>
          <w:rFonts w:ascii="Arial" w:hAnsi="Arial" w:cs="Arial"/>
          <w:sz w:val="16"/>
          <w:szCs w:val="16"/>
          <w:u w:val="single"/>
        </w:rPr>
        <w:t>quatrième degré</w:t>
      </w:r>
      <w:r>
        <w:rPr>
          <w:rFonts w:ascii="Arial" w:hAnsi="Arial" w:cs="Arial"/>
          <w:sz w:val="16"/>
          <w:szCs w:val="16"/>
        </w:rPr>
        <w:t xml:space="preserve"> sont celles qui mettent directement en danger la sécurité des personnes et causent souvent inévitablement des dommages physiques en cas d’accident ou qui consistent à négliger une </w:t>
      </w:r>
      <w:r w:rsidRPr="008957B0">
        <w:rPr>
          <w:rFonts w:ascii="Arial" w:hAnsi="Arial" w:cs="Arial"/>
          <w:sz w:val="16"/>
          <w:szCs w:val="16"/>
          <w:u w:val="single"/>
        </w:rPr>
        <w:t>injonction d’arrêt</w:t>
      </w:r>
      <w:r>
        <w:rPr>
          <w:rFonts w:ascii="Arial" w:hAnsi="Arial" w:cs="Arial"/>
          <w:sz w:val="16"/>
          <w:szCs w:val="16"/>
        </w:rPr>
        <w:t xml:space="preserve"> d’un agent qualifié</w:t>
      </w:r>
      <w:r w:rsidRPr="00A55316">
        <w:rPr>
          <w:rFonts w:ascii="Arial" w:hAnsi="Arial" w:cs="Arial"/>
          <w:sz w:val="16"/>
          <w:szCs w:val="16"/>
          <w:u w:val="single"/>
        </w:rPr>
        <w:t>. Exemples :</w:t>
      </w:r>
      <w:r>
        <w:rPr>
          <w:rFonts w:ascii="Arial" w:hAnsi="Arial" w:cs="Arial"/>
          <w:sz w:val="16"/>
          <w:szCs w:val="16"/>
        </w:rPr>
        <w:t xml:space="preserve"> mettre un véhicule à l’arrêt ou en stationnement sur les passages à niveau, </w:t>
      </w:r>
      <w:proofErr w:type="gramStart"/>
      <w:r>
        <w:rPr>
          <w:rFonts w:ascii="Arial" w:hAnsi="Arial" w:cs="Arial"/>
          <w:sz w:val="16"/>
          <w:szCs w:val="16"/>
        </w:rPr>
        <w:t>faire</w:t>
      </w:r>
      <w:proofErr w:type="gramEnd"/>
      <w:r>
        <w:rPr>
          <w:rFonts w:ascii="Arial" w:hAnsi="Arial" w:cs="Arial"/>
          <w:sz w:val="16"/>
          <w:szCs w:val="16"/>
        </w:rPr>
        <w:t xml:space="preserve"> un demi-tour sur une autoroute, dépasser par la gauche dans une côte ou dans un virage quand c’est interdit, ne pas respecter une injonction d’arrêt d’un agent qualifié, … </w:t>
      </w:r>
    </w:p>
    <w:p w14:paraId="7FB2FF6B" w14:textId="1D6B0D72" w:rsidR="00594174" w:rsidRDefault="00594174" w:rsidP="00DB1253">
      <w:pPr>
        <w:pStyle w:val="Notedebasdepage"/>
        <w:jc w:val="both"/>
        <w:rPr>
          <w:rFonts w:ascii="Arial" w:hAnsi="Arial" w:cs="Arial"/>
          <w:sz w:val="16"/>
          <w:szCs w:val="16"/>
        </w:rPr>
      </w:pPr>
      <w:r>
        <w:rPr>
          <w:rFonts w:ascii="Arial" w:hAnsi="Arial" w:cs="Arial"/>
          <w:sz w:val="16"/>
          <w:szCs w:val="16"/>
        </w:rPr>
        <w:t xml:space="preserve">Pour les infractions des </w:t>
      </w:r>
      <w:r w:rsidRPr="00421A37">
        <w:rPr>
          <w:rFonts w:ascii="Arial" w:hAnsi="Arial" w:cs="Arial"/>
          <w:sz w:val="16"/>
          <w:szCs w:val="16"/>
          <w:u w:val="single"/>
        </w:rPr>
        <w:t>trois premiers degrés</w:t>
      </w:r>
      <w:r>
        <w:rPr>
          <w:rFonts w:ascii="Arial" w:hAnsi="Arial" w:cs="Arial"/>
          <w:sz w:val="16"/>
          <w:szCs w:val="16"/>
        </w:rPr>
        <w:t xml:space="preserve">, il est possible au contrevenant d’avoir recours au mécanisme de la </w:t>
      </w:r>
      <w:r w:rsidRPr="00594174">
        <w:rPr>
          <w:rFonts w:ascii="Arial" w:hAnsi="Arial" w:cs="Arial"/>
          <w:b/>
          <w:bCs/>
          <w:sz w:val="16"/>
          <w:szCs w:val="16"/>
          <w:u w:val="single"/>
        </w:rPr>
        <w:t>transaction pénale</w:t>
      </w:r>
      <w:r>
        <w:rPr>
          <w:rFonts w:ascii="Arial" w:hAnsi="Arial" w:cs="Arial"/>
          <w:sz w:val="16"/>
          <w:szCs w:val="16"/>
        </w:rPr>
        <w:t xml:space="preserve"> (</w:t>
      </w:r>
      <w:r w:rsidR="00421A37">
        <w:rPr>
          <w:rFonts w:ascii="Arial" w:hAnsi="Arial" w:cs="Arial"/>
          <w:sz w:val="16"/>
          <w:szCs w:val="16"/>
        </w:rPr>
        <w:t xml:space="preserve">celle-ci étant une alternative aux poursuites judiciaires. Dans ce cas, en effet, le Ministère public peut proposer à l’auteur présumé d’une infraction de payer une certaine somme d’argent. S’il accepte et qu’il s’acquitte de tous les paiements qui lui ont été imposés dans les délais imparties, plus aucune poursuite pénale ne peut être engagée contre l’auteur présumé de l’infraction). </w:t>
      </w:r>
      <w:r w:rsidR="00201EFD">
        <w:rPr>
          <w:rFonts w:ascii="Arial" w:hAnsi="Arial" w:cs="Arial"/>
          <w:sz w:val="16"/>
          <w:szCs w:val="16"/>
        </w:rPr>
        <w:t xml:space="preserve">En revanche, pour les infractions du </w:t>
      </w:r>
      <w:r w:rsidR="00201EFD" w:rsidRPr="00201EFD">
        <w:rPr>
          <w:rFonts w:ascii="Arial" w:hAnsi="Arial" w:cs="Arial"/>
          <w:sz w:val="16"/>
          <w:szCs w:val="16"/>
          <w:u w:val="single"/>
        </w:rPr>
        <w:t>quatrième degré</w:t>
      </w:r>
      <w:r w:rsidR="00201EFD">
        <w:rPr>
          <w:rFonts w:ascii="Arial" w:hAnsi="Arial" w:cs="Arial"/>
          <w:sz w:val="16"/>
          <w:szCs w:val="16"/>
        </w:rPr>
        <w:t xml:space="preserve">, la possibilité de conclure une transaction pénale n’existe pas de telle sorte que l’auteur présumé de ce type d’infraction est renvoyé </w:t>
      </w:r>
      <w:r w:rsidR="00201EFD" w:rsidRPr="00201EFD">
        <w:rPr>
          <w:rFonts w:ascii="Arial" w:hAnsi="Arial" w:cs="Arial"/>
          <w:sz w:val="16"/>
          <w:szCs w:val="16"/>
          <w:u w:val="single"/>
        </w:rPr>
        <w:t>directement devant le tribunal de police</w:t>
      </w:r>
      <w:r w:rsidR="00201EFD">
        <w:rPr>
          <w:rFonts w:ascii="Arial" w:hAnsi="Arial" w:cs="Arial"/>
          <w:sz w:val="16"/>
          <w:szCs w:val="16"/>
        </w:rPr>
        <w:t xml:space="preserve">. </w:t>
      </w:r>
    </w:p>
    <w:p w14:paraId="49AFDF2D" w14:textId="77777777" w:rsidR="009865D5" w:rsidRDefault="009865D5" w:rsidP="00DB1253">
      <w:pPr>
        <w:pStyle w:val="Notedebasdepage"/>
        <w:jc w:val="both"/>
        <w:rPr>
          <w:rFonts w:ascii="Arial" w:hAnsi="Arial" w:cs="Arial"/>
          <w:sz w:val="16"/>
          <w:szCs w:val="16"/>
        </w:rPr>
      </w:pPr>
    </w:p>
    <w:p w14:paraId="347F7F23" w14:textId="2106A11B" w:rsidR="00201EFD" w:rsidRDefault="00201EFD" w:rsidP="00DB1253">
      <w:pPr>
        <w:pStyle w:val="Notedebasdepage"/>
        <w:jc w:val="both"/>
        <w:rPr>
          <w:rFonts w:ascii="Arial" w:hAnsi="Arial" w:cs="Arial"/>
          <w:i/>
          <w:iCs/>
          <w:sz w:val="16"/>
          <w:szCs w:val="16"/>
          <w:u w:val="single"/>
        </w:rPr>
      </w:pPr>
      <w:r>
        <w:rPr>
          <w:rFonts w:ascii="Arial" w:hAnsi="Arial" w:cs="Arial"/>
          <w:sz w:val="16"/>
          <w:szCs w:val="16"/>
        </w:rPr>
        <w:t xml:space="preserve">En matière d’alcool au volant, la loi établit une distinction entre l’état </w:t>
      </w:r>
      <w:r w:rsidR="00FB2D67" w:rsidRPr="00FB2D67">
        <w:rPr>
          <w:rFonts w:ascii="Arial" w:hAnsi="Arial" w:cs="Arial"/>
          <w:sz w:val="16"/>
          <w:szCs w:val="16"/>
          <w:u w:val="single"/>
        </w:rPr>
        <w:t>d</w:t>
      </w:r>
      <w:proofErr w:type="gramStart"/>
      <w:r w:rsidR="00FB2D67" w:rsidRPr="00FB2D67">
        <w:rPr>
          <w:rFonts w:ascii="Arial" w:hAnsi="Arial" w:cs="Arial"/>
          <w:sz w:val="16"/>
          <w:szCs w:val="16"/>
          <w:u w:val="single"/>
        </w:rPr>
        <w:t>’</w:t>
      </w:r>
      <w:r w:rsidR="00FB2D67" w:rsidRPr="00FB2D67">
        <w:rPr>
          <w:rFonts w:ascii="Arial" w:hAnsi="Arial" w:cs="Arial"/>
          <w:i/>
          <w:iCs/>
          <w:sz w:val="16"/>
          <w:szCs w:val="16"/>
          <w:u w:val="single"/>
        </w:rPr>
        <w:t>«</w:t>
      </w:r>
      <w:proofErr w:type="gramEnd"/>
      <w:r w:rsidRPr="00FB2D67">
        <w:rPr>
          <w:rFonts w:ascii="Arial" w:hAnsi="Arial" w:cs="Arial"/>
          <w:i/>
          <w:iCs/>
          <w:sz w:val="16"/>
          <w:szCs w:val="16"/>
          <w:u w:val="single"/>
        </w:rPr>
        <w:t xml:space="preserve"> imprégnation alcoolique » </w:t>
      </w:r>
      <w:r w:rsidRPr="00FB2D67">
        <w:rPr>
          <w:rFonts w:ascii="Arial" w:hAnsi="Arial" w:cs="Arial"/>
          <w:sz w:val="16"/>
          <w:szCs w:val="16"/>
        </w:rPr>
        <w:t xml:space="preserve">et </w:t>
      </w:r>
      <w:r w:rsidRPr="00FB2D67">
        <w:rPr>
          <w:rFonts w:ascii="Arial" w:hAnsi="Arial" w:cs="Arial"/>
          <w:sz w:val="16"/>
          <w:szCs w:val="16"/>
          <w:u w:val="single"/>
        </w:rPr>
        <w:t>l’état d’</w:t>
      </w:r>
      <w:r w:rsidRPr="00FB2D67">
        <w:rPr>
          <w:rFonts w:ascii="Arial" w:hAnsi="Arial" w:cs="Arial"/>
          <w:i/>
          <w:iCs/>
          <w:sz w:val="16"/>
          <w:szCs w:val="16"/>
          <w:u w:val="single"/>
        </w:rPr>
        <w:t> « ivresse ».</w:t>
      </w:r>
    </w:p>
    <w:p w14:paraId="6CA0DBF0" w14:textId="77777777" w:rsidR="009865D5" w:rsidRDefault="00FB2D67" w:rsidP="00DB1253">
      <w:pPr>
        <w:pStyle w:val="Notedebasdepage"/>
        <w:jc w:val="both"/>
        <w:rPr>
          <w:rFonts w:ascii="Arial" w:hAnsi="Arial" w:cs="Arial"/>
          <w:sz w:val="16"/>
          <w:szCs w:val="16"/>
        </w:rPr>
      </w:pPr>
      <w:r>
        <w:rPr>
          <w:rFonts w:ascii="Arial" w:hAnsi="Arial" w:cs="Arial"/>
          <w:sz w:val="16"/>
          <w:szCs w:val="16"/>
          <w:u w:val="single"/>
        </w:rPr>
        <w:t xml:space="preserve">L’imprégnation alcoolique </w:t>
      </w:r>
      <w:r>
        <w:rPr>
          <w:rFonts w:ascii="Arial" w:hAnsi="Arial" w:cs="Arial"/>
          <w:sz w:val="16"/>
          <w:szCs w:val="16"/>
        </w:rPr>
        <w:t xml:space="preserve">est déterminée </w:t>
      </w:r>
      <w:r w:rsidRPr="001369E1">
        <w:rPr>
          <w:rFonts w:ascii="Arial" w:hAnsi="Arial" w:cs="Arial"/>
          <w:b/>
          <w:bCs/>
          <w:sz w:val="16"/>
          <w:szCs w:val="16"/>
        </w:rPr>
        <w:t>scientifiquement</w:t>
      </w:r>
      <w:r>
        <w:rPr>
          <w:rFonts w:ascii="Arial" w:hAnsi="Arial" w:cs="Arial"/>
          <w:sz w:val="16"/>
          <w:szCs w:val="16"/>
        </w:rPr>
        <w:t xml:space="preserve"> par le dépassement du taux d’alcool révélé par une analyse de l’haleine ou une analyse de sang.</w:t>
      </w:r>
    </w:p>
    <w:p w14:paraId="64C529CC" w14:textId="72226605" w:rsidR="00FB2D67" w:rsidRDefault="001369E1" w:rsidP="00DB1253">
      <w:pPr>
        <w:pStyle w:val="Notedebasdepage"/>
        <w:jc w:val="both"/>
        <w:rPr>
          <w:rFonts w:ascii="Arial" w:hAnsi="Arial" w:cs="Arial"/>
          <w:sz w:val="16"/>
          <w:szCs w:val="16"/>
        </w:rPr>
      </w:pPr>
      <w:r>
        <w:rPr>
          <w:rFonts w:ascii="Arial" w:hAnsi="Arial" w:cs="Arial"/>
          <w:sz w:val="16"/>
          <w:szCs w:val="16"/>
        </w:rPr>
        <w:t xml:space="preserve">La Cour de cassation, dans son arrêt du 9 novembre 2005, a considéré que : </w:t>
      </w:r>
      <w:r>
        <w:rPr>
          <w:rFonts w:ascii="Arial" w:hAnsi="Arial" w:cs="Arial"/>
          <w:i/>
          <w:iCs/>
          <w:sz w:val="16"/>
          <w:szCs w:val="16"/>
        </w:rPr>
        <w:t xml:space="preserve">« Contrairement à l’ivresse, l’imprégnation alcoolique n’établit pas, à elle seule, qu’un conducteur contrevient en tout ou en partie à l’article 8.3. </w:t>
      </w:r>
      <w:proofErr w:type="gramStart"/>
      <w:r>
        <w:rPr>
          <w:rFonts w:ascii="Arial" w:hAnsi="Arial" w:cs="Arial"/>
          <w:i/>
          <w:iCs/>
          <w:sz w:val="16"/>
          <w:szCs w:val="16"/>
        </w:rPr>
        <w:t>du</w:t>
      </w:r>
      <w:proofErr w:type="gramEnd"/>
      <w:r>
        <w:rPr>
          <w:rFonts w:ascii="Arial" w:hAnsi="Arial" w:cs="Arial"/>
          <w:i/>
          <w:iCs/>
          <w:sz w:val="16"/>
          <w:szCs w:val="16"/>
        </w:rPr>
        <w:t xml:space="preserve"> Code de la Route, qui impose à tout conducteur de véhicule d’être en état de conduire, de présenter les qualités physiques requises ; de posséder les connaissances et l’habileté nécessaires , d’être constamment en mesure d’effectuer toutes les manœuvres qui lui incombent et d’avoir en permanence le contrôle du véhicule qu’il conduit. » </w:t>
      </w:r>
      <w:r>
        <w:rPr>
          <w:rFonts w:ascii="Arial" w:hAnsi="Arial" w:cs="Arial"/>
          <w:sz w:val="16"/>
          <w:szCs w:val="16"/>
        </w:rPr>
        <w:t xml:space="preserve">(Cass, 9 novembre 2005, Numéro de rôle : P.05.1069.F). </w:t>
      </w:r>
    </w:p>
    <w:p w14:paraId="4D4E1880" w14:textId="77777777" w:rsidR="00BD6C5B" w:rsidRDefault="001369E1" w:rsidP="00DB1253">
      <w:pPr>
        <w:pStyle w:val="Notedebasdepage"/>
        <w:jc w:val="both"/>
        <w:rPr>
          <w:rFonts w:ascii="Arial" w:hAnsi="Arial" w:cs="Arial"/>
          <w:sz w:val="16"/>
          <w:szCs w:val="16"/>
        </w:rPr>
      </w:pPr>
      <w:r w:rsidRPr="001369E1">
        <w:rPr>
          <w:rFonts w:ascii="Arial" w:hAnsi="Arial" w:cs="Arial"/>
          <w:sz w:val="16"/>
          <w:szCs w:val="16"/>
          <w:u w:val="single"/>
        </w:rPr>
        <w:t xml:space="preserve">L’état d’ivresse </w:t>
      </w:r>
      <w:r>
        <w:rPr>
          <w:rFonts w:ascii="Arial" w:hAnsi="Arial" w:cs="Arial"/>
          <w:sz w:val="16"/>
          <w:szCs w:val="16"/>
        </w:rPr>
        <w:t xml:space="preserve">est, quant à lui, déterminé </w:t>
      </w:r>
      <w:r w:rsidRPr="001369E1">
        <w:rPr>
          <w:rFonts w:ascii="Arial" w:hAnsi="Arial" w:cs="Arial"/>
          <w:b/>
          <w:bCs/>
          <w:sz w:val="16"/>
          <w:szCs w:val="16"/>
        </w:rPr>
        <w:t xml:space="preserve">subjectivement </w:t>
      </w:r>
      <w:r>
        <w:rPr>
          <w:rFonts w:ascii="Arial" w:hAnsi="Arial" w:cs="Arial"/>
          <w:sz w:val="16"/>
          <w:szCs w:val="16"/>
        </w:rPr>
        <w:t>par le comportement du conducteur, révélé par différents facteurs (marche, élocution, orientation dans le temps et l’espace, …).</w:t>
      </w:r>
    </w:p>
    <w:p w14:paraId="520B68FD" w14:textId="480EC98E" w:rsidR="001369E1" w:rsidRDefault="001369E1" w:rsidP="00DB1253">
      <w:pPr>
        <w:pStyle w:val="Notedebasdepage"/>
        <w:jc w:val="both"/>
        <w:rPr>
          <w:rFonts w:ascii="Arial" w:hAnsi="Arial" w:cs="Arial"/>
          <w:sz w:val="16"/>
          <w:szCs w:val="16"/>
        </w:rPr>
      </w:pPr>
      <w:r>
        <w:rPr>
          <w:rFonts w:ascii="Arial" w:hAnsi="Arial" w:cs="Arial"/>
          <w:sz w:val="16"/>
          <w:szCs w:val="16"/>
        </w:rPr>
        <w:t xml:space="preserve">La jurisprudence est ainsi fixée en ce sens : </w:t>
      </w:r>
    </w:p>
    <w:p w14:paraId="7A48A79F" w14:textId="22DDCCBF" w:rsidR="001369E1" w:rsidRDefault="001369E1" w:rsidP="00DB1253">
      <w:pPr>
        <w:pStyle w:val="Notedebasdepage"/>
        <w:numPr>
          <w:ilvl w:val="0"/>
          <w:numId w:val="4"/>
        </w:numPr>
        <w:jc w:val="both"/>
        <w:rPr>
          <w:rFonts w:ascii="Arial" w:hAnsi="Arial" w:cs="Arial"/>
          <w:sz w:val="16"/>
          <w:szCs w:val="16"/>
        </w:rPr>
      </w:pPr>
      <w:r>
        <w:rPr>
          <w:rFonts w:ascii="Arial" w:hAnsi="Arial" w:cs="Arial"/>
          <w:i/>
          <w:iCs/>
          <w:sz w:val="16"/>
          <w:szCs w:val="16"/>
        </w:rPr>
        <w:t xml:space="preserve">« (…) La preuve de ce qu’une personne conduisait un véhicule dans un lieu public était en état d’ivresse, n’est subordonnée à aucune règle spéciale : le juge du fond qui connaît de pareille infraction peut déduire l’état d’ivresse de tous les éléments qui lui sont régulièrement soumis et que les parties ont pu contredire » </w:t>
      </w:r>
      <w:r>
        <w:rPr>
          <w:rFonts w:ascii="Arial" w:hAnsi="Arial" w:cs="Arial"/>
          <w:sz w:val="16"/>
          <w:szCs w:val="16"/>
        </w:rPr>
        <w:t xml:space="preserve">(Tribunal de première instance de Liège, jugement du 21 février 2006, Numéro de rôle : 80.96.337/05) ; </w:t>
      </w:r>
    </w:p>
    <w:p w14:paraId="67D373CD" w14:textId="77777777" w:rsidR="000F6C7F" w:rsidRDefault="000F6C7F" w:rsidP="00DB1253">
      <w:pPr>
        <w:pStyle w:val="Notedebasdepage"/>
        <w:numPr>
          <w:ilvl w:val="0"/>
          <w:numId w:val="4"/>
        </w:numPr>
        <w:jc w:val="both"/>
        <w:rPr>
          <w:rFonts w:ascii="Arial" w:hAnsi="Arial" w:cs="Arial"/>
          <w:sz w:val="16"/>
          <w:szCs w:val="16"/>
        </w:rPr>
      </w:pPr>
      <w:r>
        <w:rPr>
          <w:rFonts w:ascii="Arial" w:hAnsi="Arial" w:cs="Arial"/>
          <w:i/>
          <w:iCs/>
          <w:sz w:val="16"/>
          <w:szCs w:val="16"/>
        </w:rPr>
        <w:t xml:space="preserve">« (…) L’état d’ivresse est l’état d’une personne qui, en raison de l’absorption de boissons alcoolisées, n’a plus le contrôle permanent de ses actes ; mais cet état ne requiert pas qu’elle en ait perdu la conscience ». </w:t>
      </w:r>
      <w:r>
        <w:rPr>
          <w:rFonts w:ascii="Arial" w:hAnsi="Arial" w:cs="Arial"/>
          <w:sz w:val="16"/>
          <w:szCs w:val="16"/>
        </w:rPr>
        <w:t xml:space="preserve">(Cass, 25 septembre 2013, Numéro de rôle : P.13.0651.F). </w:t>
      </w:r>
    </w:p>
    <w:p w14:paraId="2CC93A26" w14:textId="77777777" w:rsidR="000F6C7F" w:rsidRDefault="000F6C7F" w:rsidP="00DB1253">
      <w:pPr>
        <w:pStyle w:val="Notedebasdepage"/>
        <w:jc w:val="both"/>
        <w:rPr>
          <w:rFonts w:ascii="Arial" w:hAnsi="Arial" w:cs="Arial"/>
          <w:sz w:val="16"/>
          <w:szCs w:val="16"/>
        </w:rPr>
      </w:pPr>
    </w:p>
    <w:p w14:paraId="744DEA35" w14:textId="03C83132" w:rsidR="001369E1" w:rsidRPr="00EA2130" w:rsidRDefault="000F6C7F" w:rsidP="00DB1253">
      <w:pPr>
        <w:pStyle w:val="Notedebasdepage"/>
        <w:jc w:val="both"/>
        <w:rPr>
          <w:rFonts w:ascii="Arial" w:hAnsi="Arial" w:cs="Arial"/>
          <w:sz w:val="16"/>
          <w:szCs w:val="16"/>
        </w:rPr>
      </w:pPr>
      <w:r>
        <w:rPr>
          <w:rFonts w:ascii="Arial" w:hAnsi="Arial" w:cs="Arial"/>
          <w:sz w:val="16"/>
          <w:szCs w:val="16"/>
        </w:rPr>
        <w:t xml:space="preserve">En cas de conduite sous influence de l’alcool, le législateur a prévu plusieurs types de sanctions possibles (amende, déchéance du droit de conduire, examen médical et/ou psychologique à réaliser, éventuelle peine d’emprisonnement, placement d’un éthylotest antidémarrage dans le véhicule, …).  </w:t>
      </w:r>
      <w:r>
        <w:rPr>
          <w:rFonts w:ascii="Arial" w:hAnsi="Arial" w:cs="Arial"/>
          <w:i/>
          <w:iCs/>
          <w:sz w:val="16"/>
          <w:szCs w:val="16"/>
        </w:rPr>
        <w:t xml:space="preserve"> </w:t>
      </w:r>
      <w:r w:rsidR="00EA2130">
        <w:rPr>
          <w:rFonts w:ascii="Arial" w:hAnsi="Arial" w:cs="Arial"/>
          <w:sz w:val="16"/>
          <w:szCs w:val="16"/>
        </w:rPr>
        <w:t xml:space="preserve">Des peines similaires sont également prévues en cas de conduite sous l’influence de drogues ou de médicaments. </w:t>
      </w:r>
    </w:p>
    <w:p w14:paraId="15545E4C" w14:textId="77777777" w:rsidR="00FB2D67" w:rsidRPr="00FB2D67" w:rsidRDefault="00FB2D67" w:rsidP="00DB1253">
      <w:pPr>
        <w:pStyle w:val="Notedebasdepage"/>
        <w:jc w:val="both"/>
        <w:rPr>
          <w:rFonts w:ascii="Arial" w:hAnsi="Arial" w:cs="Arial"/>
          <w:sz w:val="16"/>
          <w:szCs w:val="16"/>
          <w:u w:val="single"/>
        </w:rPr>
      </w:pPr>
    </w:p>
  </w:footnote>
  <w:footnote w:id="3">
    <w:p w14:paraId="341DF4EC" w14:textId="4AB7447D" w:rsidR="007D3877" w:rsidRPr="007D3877" w:rsidRDefault="007D3877" w:rsidP="00DB1253">
      <w:pPr>
        <w:pStyle w:val="Notedebasdepage"/>
        <w:jc w:val="both"/>
        <w:rPr>
          <w:rFonts w:ascii="Arial" w:hAnsi="Arial" w:cs="Arial"/>
          <w:sz w:val="16"/>
          <w:szCs w:val="16"/>
        </w:rPr>
      </w:pPr>
      <w:r>
        <w:rPr>
          <w:rStyle w:val="Appelnotedebasdep"/>
        </w:rPr>
        <w:footnoteRef/>
      </w:r>
      <w:r>
        <w:t xml:space="preserve"> </w:t>
      </w:r>
      <w:r>
        <w:rPr>
          <w:rFonts w:ascii="Arial" w:hAnsi="Arial" w:cs="Arial"/>
          <w:sz w:val="16"/>
          <w:szCs w:val="16"/>
        </w:rPr>
        <w:t xml:space="preserve">L’atteinte à l’intégrité des personnes renvoie à la violence sous toutes ses formes. </w:t>
      </w:r>
      <w:r w:rsidR="00BD6C5B">
        <w:rPr>
          <w:rFonts w:ascii="Arial" w:hAnsi="Arial" w:cs="Arial"/>
          <w:sz w:val="16"/>
          <w:szCs w:val="16"/>
        </w:rPr>
        <w:t xml:space="preserve">Le Conseil de l’Europe définit la violence comme étant </w:t>
      </w:r>
      <w:r w:rsidR="00BD6C5B">
        <w:rPr>
          <w:rFonts w:ascii="Arial" w:hAnsi="Arial" w:cs="Arial"/>
          <w:i/>
          <w:iCs/>
          <w:sz w:val="16"/>
          <w:szCs w:val="16"/>
        </w:rPr>
        <w:t xml:space="preserve">« tout acte ou omission commis par une personne (ou un groupe) s’il porte atteinte à la vie, à l’intégrité corporelle ou psychique ou à la liberté d’une personne (ou d’un groupe) ou compromet gravement le développement de sa personnalité et/ou nuit à sa sécurité financière ». </w:t>
      </w:r>
      <w:r w:rsidR="00BD6C5B">
        <w:rPr>
          <w:rFonts w:ascii="Arial" w:hAnsi="Arial" w:cs="Arial"/>
          <w:sz w:val="16"/>
          <w:szCs w:val="16"/>
        </w:rPr>
        <w:t xml:space="preserve">La violence peut être de nature verbale, psychologique, physique ou sexuelle. </w:t>
      </w:r>
      <w:r w:rsidR="00BD6C5B" w:rsidRPr="00BD6C5B">
        <w:rPr>
          <w:rFonts w:ascii="Arial" w:hAnsi="Arial" w:cs="Arial"/>
          <w:sz w:val="16"/>
          <w:szCs w:val="16"/>
          <w:u w:val="single"/>
        </w:rPr>
        <w:t xml:space="preserve">Exemples : </w:t>
      </w:r>
      <w:r w:rsidR="00BD6C5B">
        <w:rPr>
          <w:rFonts w:ascii="Arial" w:hAnsi="Arial" w:cs="Arial"/>
          <w:sz w:val="16"/>
          <w:szCs w:val="16"/>
        </w:rPr>
        <w:t xml:space="preserve">homicide, lésions corporelles volontaires, torture, traitements inhumains et dégradants, faits de voyeurisme, mariage forcé, harcèlement, viol, attentat à la pudeur→ </w:t>
      </w:r>
      <w:proofErr w:type="spellStart"/>
      <w:r w:rsidR="00BD6C5B">
        <w:rPr>
          <w:rFonts w:ascii="Arial" w:hAnsi="Arial" w:cs="Arial"/>
          <w:sz w:val="16"/>
          <w:szCs w:val="16"/>
        </w:rPr>
        <w:t>cfr</w:t>
      </w:r>
      <w:proofErr w:type="spellEnd"/>
      <w:r w:rsidR="00BD6C5B">
        <w:rPr>
          <w:rFonts w:ascii="Arial" w:hAnsi="Arial" w:cs="Arial"/>
          <w:sz w:val="16"/>
          <w:szCs w:val="16"/>
        </w:rPr>
        <w:t xml:space="preserve">. </w:t>
      </w:r>
      <w:r w:rsidR="00BD6C5B">
        <w:rPr>
          <w:rFonts w:ascii="Arial" w:hAnsi="Arial" w:cs="Arial"/>
          <w:i/>
          <w:iCs/>
          <w:sz w:val="16"/>
          <w:szCs w:val="16"/>
        </w:rPr>
        <w:t xml:space="preserve">« Titre VIII – Des crimes et délits contre les personnes » </w:t>
      </w:r>
      <w:r w:rsidR="00BD6C5B">
        <w:rPr>
          <w:rFonts w:ascii="Arial" w:hAnsi="Arial" w:cs="Arial"/>
          <w:sz w:val="16"/>
          <w:szCs w:val="16"/>
        </w:rPr>
        <w:t xml:space="preserve">du Code pénal).  </w:t>
      </w:r>
      <w:bookmarkStart w:id="0" w:name="_Hlk181627836"/>
    </w:p>
    <w:bookmarkEnd w:i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E626A"/>
    <w:multiLevelType w:val="hybridMultilevel"/>
    <w:tmpl w:val="E3BA0204"/>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371F4F19"/>
    <w:multiLevelType w:val="hybridMultilevel"/>
    <w:tmpl w:val="DB5A9364"/>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66867135"/>
    <w:multiLevelType w:val="hybridMultilevel"/>
    <w:tmpl w:val="803E2C3A"/>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73986991"/>
    <w:multiLevelType w:val="hybridMultilevel"/>
    <w:tmpl w:val="84CC0CA2"/>
    <w:lvl w:ilvl="0" w:tplc="C36A3018">
      <w:numFmt w:val="bullet"/>
      <w:lvlText w:val=""/>
      <w:lvlJc w:val="left"/>
      <w:pPr>
        <w:ind w:left="720" w:hanging="360"/>
      </w:pPr>
      <w:rPr>
        <w:rFonts w:ascii="Symbol" w:eastAsiaTheme="minorHAnsi"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060514244">
    <w:abstractNumId w:val="0"/>
  </w:num>
  <w:num w:numId="2" w16cid:durableId="1942712953">
    <w:abstractNumId w:val="1"/>
  </w:num>
  <w:num w:numId="3" w16cid:durableId="824206851">
    <w:abstractNumId w:val="2"/>
  </w:num>
  <w:num w:numId="4" w16cid:durableId="1847530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00C"/>
    <w:rsid w:val="0007589D"/>
    <w:rsid w:val="000F6C7F"/>
    <w:rsid w:val="001369E1"/>
    <w:rsid w:val="00201EFD"/>
    <w:rsid w:val="0025245B"/>
    <w:rsid w:val="00263E50"/>
    <w:rsid w:val="002645F2"/>
    <w:rsid w:val="0026700C"/>
    <w:rsid w:val="00313458"/>
    <w:rsid w:val="00421A37"/>
    <w:rsid w:val="00594174"/>
    <w:rsid w:val="00787439"/>
    <w:rsid w:val="007D3877"/>
    <w:rsid w:val="008957B0"/>
    <w:rsid w:val="008E3853"/>
    <w:rsid w:val="009865D5"/>
    <w:rsid w:val="00993349"/>
    <w:rsid w:val="00A02A3A"/>
    <w:rsid w:val="00A11933"/>
    <w:rsid w:val="00A12DE5"/>
    <w:rsid w:val="00A55316"/>
    <w:rsid w:val="00B4206D"/>
    <w:rsid w:val="00BA0B07"/>
    <w:rsid w:val="00BD6C5B"/>
    <w:rsid w:val="00C83EA2"/>
    <w:rsid w:val="00D75AD2"/>
    <w:rsid w:val="00DB1253"/>
    <w:rsid w:val="00E92BF5"/>
    <w:rsid w:val="00EA2130"/>
    <w:rsid w:val="00EE60BD"/>
    <w:rsid w:val="00EF4D4E"/>
    <w:rsid w:val="00F36684"/>
    <w:rsid w:val="00FB2D6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DE255"/>
  <w15:chartTrackingRefBased/>
  <w15:docId w15:val="{12CCA92E-7F60-40EF-8148-EDA5C4CDC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00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267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26700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700C"/>
  </w:style>
  <w:style w:type="paragraph" w:styleId="Notedebasdepage">
    <w:name w:val="footnote text"/>
    <w:basedOn w:val="Normal"/>
    <w:link w:val="NotedebasdepageCar"/>
    <w:uiPriority w:val="99"/>
    <w:semiHidden/>
    <w:unhideWhenUsed/>
    <w:rsid w:val="0026700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6700C"/>
    <w:rPr>
      <w:sz w:val="20"/>
      <w:szCs w:val="20"/>
    </w:rPr>
  </w:style>
  <w:style w:type="character" w:styleId="Appelnotedebasdep">
    <w:name w:val="footnote reference"/>
    <w:basedOn w:val="Policepardfaut"/>
    <w:uiPriority w:val="99"/>
    <w:semiHidden/>
    <w:unhideWhenUsed/>
    <w:rsid w:val="0026700C"/>
    <w:rPr>
      <w:vertAlign w:val="superscript"/>
    </w:rPr>
  </w:style>
  <w:style w:type="character" w:styleId="Lienhypertexte">
    <w:name w:val="Hyperlink"/>
    <w:basedOn w:val="Policepardfaut"/>
    <w:uiPriority w:val="99"/>
    <w:unhideWhenUsed/>
    <w:rsid w:val="0026700C"/>
    <w:rPr>
      <w:color w:val="0563C1" w:themeColor="hyperlink"/>
      <w:u w:val="single"/>
    </w:rPr>
  </w:style>
  <w:style w:type="paragraph" w:styleId="Paragraphedeliste">
    <w:name w:val="List Paragraph"/>
    <w:basedOn w:val="Normal"/>
    <w:uiPriority w:val="34"/>
    <w:qFormat/>
    <w:rsid w:val="0026700C"/>
    <w:pPr>
      <w:ind w:left="720"/>
      <w:contextualSpacing/>
    </w:pPr>
  </w:style>
  <w:style w:type="character" w:styleId="Lienhypertextesuivivisit">
    <w:name w:val="FollowedHyperlink"/>
    <w:basedOn w:val="Policepardfaut"/>
    <w:uiPriority w:val="99"/>
    <w:semiHidden/>
    <w:unhideWhenUsed/>
    <w:rsid w:val="00A12DE5"/>
    <w:rPr>
      <w:color w:val="954F72" w:themeColor="followedHyperlink"/>
      <w:u w:val="single"/>
    </w:rPr>
  </w:style>
  <w:style w:type="character" w:styleId="Mentionnonrsolue">
    <w:name w:val="Unresolved Mention"/>
    <w:basedOn w:val="Policepardfaut"/>
    <w:uiPriority w:val="99"/>
    <w:semiHidden/>
    <w:unhideWhenUsed/>
    <w:rsid w:val="00A02A3A"/>
    <w:rPr>
      <w:color w:val="605E5C"/>
      <w:shd w:val="clear" w:color="auto" w:fill="E1DFDD"/>
    </w:rPr>
  </w:style>
  <w:style w:type="paragraph" w:styleId="En-tte">
    <w:name w:val="header"/>
    <w:basedOn w:val="Normal"/>
    <w:link w:val="En-tteCar"/>
    <w:uiPriority w:val="99"/>
    <w:unhideWhenUsed/>
    <w:rsid w:val="001369E1"/>
    <w:pPr>
      <w:tabs>
        <w:tab w:val="center" w:pos="4536"/>
        <w:tab w:val="right" w:pos="9072"/>
      </w:tabs>
      <w:spacing w:after="0" w:line="240" w:lineRule="auto"/>
    </w:pPr>
  </w:style>
  <w:style w:type="character" w:customStyle="1" w:styleId="En-tteCar">
    <w:name w:val="En-tête Car"/>
    <w:basedOn w:val="Policepardfaut"/>
    <w:link w:val="En-tte"/>
    <w:uiPriority w:val="99"/>
    <w:rsid w:val="001369E1"/>
  </w:style>
  <w:style w:type="paragraph" w:styleId="Rvision">
    <w:name w:val="Revision"/>
    <w:hidden/>
    <w:uiPriority w:val="99"/>
    <w:semiHidden/>
    <w:rsid w:val="000758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justice.just.fgov.be/eli/arrete/2005/09/30/2005014182/moniteu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59E7EF-2F6A-4809-AD40-18130FD9306A}">
  <ds:schemaRefs>
    <ds:schemaRef ds:uri="http://schemas.openxmlformats.org/officeDocument/2006/bibliography"/>
  </ds:schemaRefs>
</ds:datastoreItem>
</file>

<file path=customXml/itemProps2.xml><?xml version="1.0" encoding="utf-8"?>
<ds:datastoreItem xmlns:ds="http://schemas.openxmlformats.org/officeDocument/2006/customXml" ds:itemID="{AFBA38D6-5ABE-44C9-8167-FF312D6FF46F}"/>
</file>

<file path=customXml/itemProps3.xml><?xml version="1.0" encoding="utf-8"?>
<ds:datastoreItem xmlns:ds="http://schemas.openxmlformats.org/officeDocument/2006/customXml" ds:itemID="{35D478F1-9359-4D4D-B996-713C9DCFA56C}"/>
</file>

<file path=customXml/itemProps4.xml><?xml version="1.0" encoding="utf-8"?>
<ds:datastoreItem xmlns:ds="http://schemas.openxmlformats.org/officeDocument/2006/customXml" ds:itemID="{1AE6AD26-7D9F-45B9-AE36-857265556454}"/>
</file>

<file path=docProps/app.xml><?xml version="1.0" encoding="utf-8"?>
<Properties xmlns="http://schemas.openxmlformats.org/officeDocument/2006/extended-properties" xmlns:vt="http://schemas.openxmlformats.org/officeDocument/2006/docPropsVTypes">
  <Template>Normal.dotm</Template>
  <TotalTime>1</TotalTime>
  <Pages>2</Pages>
  <Words>286</Words>
  <Characters>1579</Characters>
  <Application>Microsoft Office Word</Application>
  <DocSecurity>4</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DELFOSSE Julie</dc:creator>
  <cp:keywords/>
  <dc:description/>
  <cp:lastModifiedBy>MICHIELS Jan</cp:lastModifiedBy>
  <cp:revision>2</cp:revision>
  <cp:lastPrinted>2024-11-04T14:40:00Z</cp:lastPrinted>
  <dcterms:created xsi:type="dcterms:W3CDTF">2025-08-04T15:04:00Z</dcterms:created>
  <dcterms:modified xsi:type="dcterms:W3CDTF">2025-08-04T15:04:00Z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